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00"/>
        <w:jc w:val="center"/>
      </w:pPr>
      <w:r>
        <w:rPr>
          <w:b/>
          <w:bCs/>
          <w:color w:val="C9902A"/>
          <w:sz w:val="56"/>
          <w:szCs w:val="56"/>
        </w:rPr>
        <w:t xml:space="preserve">KangaVisa</w:t>
      </w:r>
    </w:p>
    <w:p>
      <w:pPr>
        <w:spacing w:after="80"/>
        <w:jc w:val="center"/>
      </w:pPr>
      <w:r>
        <w:rPr>
          <w:b/>
          <w:bCs/>
          <w:color w:val="0B1F3B"/>
          <w:sz w:val="44"/>
          <w:szCs w:val="44"/>
        </w:rPr>
        <w:t xml:space="preserve">Readiness Pack</w:t>
      </w:r>
    </w:p>
    <w:p>
      <w:pPr>
        <w:spacing w:after="80"/>
        <w:jc w:val="center"/>
      </w:pPr>
      <w:r>
        <w:rPr>
          <w:color w:val="4A5568"/>
          <w:sz w:val="28"/>
          <w:szCs w:val="28"/>
        </w:rPr>
        <w:t xml:space="preserve">Visitor visa (subclass 600)</w:t>
      </w:r>
    </w:p>
    <w:p>
      <w:pPr>
        <w:spacing w:after="80"/>
        <w:jc w:val="center"/>
      </w:pPr>
      <w:r>
        <w:rPr>
          <w:color w:val="4A5568"/>
          <w:sz w:val="22"/>
          <w:szCs w:val="22"/>
        </w:rPr>
        <w:t xml:space="preserve">Case date: 2026-03-15</w:t>
      </w:r>
    </w:p>
    <w:p>
      <w:pPr>
        <w:spacing w:after="80"/>
        <w:jc w:val="center"/>
      </w:pPr>
      <w:r>
        <w:rPr>
          <w:color w:val="4A5568"/>
          <w:sz w:val="20"/>
          <w:szCs w:val="20"/>
        </w:rPr>
        <w:t xml:space="preserve">Pack version: kb-v20260315</w:t>
      </w:r>
    </w:p>
    <w:p>
      <w:pPr>
        <w:spacing w:after="600"/>
        <w:jc w:val="center"/>
      </w:pPr>
      <w:r>
        <w:rPr>
          <w:color w:val="4A5568"/>
          <w:sz w:val="20"/>
          <w:szCs w:val="20"/>
        </w:rPr>
        <w:t xml:space="preserve">Generated: 15/03/2026</w:t>
      </w:r>
    </w:p>
    <w:p>
      <w:r>
        <w:br w:type="page"/>
      </w:r>
    </w:p>
    <w:p>
      <w:pPr>
        <w:pStyle w:val="Heading1"/>
        <w:spacing w:after="120" w:before="280"/>
        <w:rPr>
          <w:b/>
          <w:bCs/>
          <w:color w:val="0B1F3B"/>
        </w:rPr>
      </w:pPr>
      <w:r>
        <w:t xml:space="preserve">Case Assumptions</w:t>
      </w:r>
    </w:p>
    <w:p>
      <w:pPr>
        <w:spacing w:after="60"/>
        <w:ind w:left="240"/>
      </w:pPr>
      <w:r>
        <w:rPr>
          <w:color w:val="4A5568"/>
          <w:sz w:val="22"/>
          <w:szCs w:val="22"/>
        </w:rPr>
        <w:t xml:space="preserve">• Visa subclass: 600</w:t>
      </w:r>
    </w:p>
    <w:p>
      <w:pPr>
        <w:spacing w:after="60"/>
        <w:ind w:left="240"/>
      </w:pPr>
      <w:r>
        <w:rPr>
          <w:color w:val="4A5568"/>
          <w:sz w:val="22"/>
          <w:szCs w:val="22"/>
        </w:rPr>
        <w:t xml:space="preserve">• Case date: 2026-03-15</w:t>
      </w:r>
    </w:p>
    <w:p>
      <w:pPr>
        <w:spacing w:after="60"/>
        <w:ind w:left="240"/>
      </w:pPr>
      <w:r>
        <w:rPr>
          <w:color w:val="4A5568"/>
          <w:sz w:val="22"/>
          <w:szCs w:val="22"/>
        </w:rPr>
        <w:t xml:space="preserve">• Requirements loaded: 5</w:t>
      </w:r>
    </w:p>
    <w:p>
      <w:pPr>
        <w:spacing w:after="60"/>
        <w:ind w:left="240"/>
      </w:pPr>
      <w:r>
        <w:rPr>
          <w:color w:val="4A5568"/>
          <w:sz w:val="22"/>
          <w:szCs w:val="22"/>
        </w:rPr>
        <w:t xml:space="preserve">• Evidence items: 8</w:t>
      </w:r>
    </w:p>
    <w:p>
      <w:pPr>
        <w:spacing w:after="60"/>
        <w:ind w:left="240"/>
      </w:pPr>
      <w:r>
        <w:rPr>
          <w:color w:val="4A5568"/>
          <w:sz w:val="22"/>
          <w:szCs w:val="22"/>
        </w:rPr>
        <w:t xml:space="preserve">• Effective date selection: as at case date above</w:t>
      </w:r>
    </w:p>
    <w:p>
      <w:pPr>
        <w:spacing w:after="200"/>
      </w:pPr>
    </w:p>
    <w:p>
      <w:pPr>
        <w:pStyle w:val="Heading1"/>
        <w:spacing w:after="120" w:before="280"/>
        <w:rPr>
          <w:b/>
          <w:bCs/>
          <w:color w:val="0B1F3B"/>
        </w:rPr>
      </w:pPr>
      <w:r>
        <w:t xml:space="preserve">Requirements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Type</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Requirement</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Plain English</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Citation</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genuine</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Genuine Visitor</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The applicant must demonstrate an intention to stay temporarily in Australia and comply with visa conditions. Decision makers assess travel purpose, home-country ties, travel history, immigration compliance record, and economic circumstances. This is a balance-of-factors test.</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Schedule 2, clause 600.211</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financial</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Financial Capacity</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The applicant must demonstrate the ability to financially support their travel and stay in Australia without recourse to public funds. Evidence should show sufficient funds relative to the planned length of stay.</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Schedule 2, clause 600.211; Public Interest Criterion 4011</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identity</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Identity Confirmation</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The applicant must provide documents confirming their identity. A valid passport is the primary identity document. National ID or birth certificate may be required in some circumstances.</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Migration Act 1958, s 256</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other</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Clear Travel Plan</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The applicant should provide a reasonable explanation of their intended travel activities in Australia, including proposed dates, accommodation, and activities. A credible travel plan supports the genuine visitor assessment.</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Schedule 2, clause 600.211</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other</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Invitation Support (Visiting Family or Friends)</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If the applicant is visiting an Australian resident, evidence from the host may be required. This includes an invitation letter and proof of the host's status in Australia. Not required for all applicants — only when the primary travel purpose is to visit a host.</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Schedule 2, clause 600.211</w:t>
            </w:r>
          </w:p>
        </w:tc>
      </w:tr>
    </w:tbl>
    <w:p>
      <w:pPr>
        <w:spacing w:after="200"/>
      </w:pPr>
    </w:p>
    <w:p>
      <w:pPr>
        <w:pStyle w:val="Heading1"/>
        <w:spacing w:after="120" w:before="280"/>
        <w:rPr>
          <w:b/>
          <w:bCs/>
          <w:color w:val="0B1F3B"/>
        </w:rPr>
      </w:pPr>
      <w:r>
        <w:t xml:space="preserve">Risk Flags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Severity</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Flag</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Why it matters</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RISK</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Financial records appear inconsistent or unverifiable</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Decision makers flag financial evidence that is inconsistent or hard to verify — for example, large recent deposits that do not match stated income. This can indicate borrowed funds or fabricated records, which may be treated as evidence of deception under s109 of the Migration Act.</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RISK</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Limited or concerning travel history</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Travel history is a key factor in genuine visitor assessments. Applicants with no international travel history may face greater scrutiny. Any prior visa overstay or immigration non-compliance significantly increases the risk of refusal under clause 600.211 and PIC 4013.</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WARNING</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Weak or missing host invitation evidence</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When the stated purpose of the visit is to see an Australian resident (family or friends), decision makers look for corroborating evidence from the host. Without an invitation letter or proof of the host's Australian status, the travel purpose is harder to verify.</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WARNING</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Insufficient funds for intended length of stay</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While there is no fixed statutory dollar threshold, decision makers assess whether the applicant can genuinely support themselves during the proposed visit without working unlawfully or relying on social support. Low balances relative to the proposed stay or an inability to explain income sources increases refusal risk.</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WARNING</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Insufficient evidence of ties to home country</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Decision makers assess whether the applicant is likely to return home after their visit. Weak ties to the home country — such as no stable employment, no property, no family dependants, or a history of overstaying visas — significantly increase refusal risk under clause 600.211.</w:t>
            </w:r>
          </w:p>
        </w:tc>
      </w:tr>
    </w:tbl>
    <w:p>
      <w:pPr>
        <w:spacing w:after="200"/>
      </w:pPr>
    </w:p>
    <w:p>
      <w:pPr>
        <w:pStyle w:val="Heading1"/>
        <w:spacing w:after="120" w:before="280"/>
        <w:rPr>
          <w:b/>
          <w:bCs/>
          <w:color w:val="0B1F3B"/>
        </w:rPr>
      </w:pPr>
      <w:r>
        <w:t xml:space="preserve">Evidence Checklist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Evidence item</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Status</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Note</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aa4d1aae-8928-4f37-b066-e566e1b41963</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cbe53f57-c30f-43ee-a13f-9073863821a0</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10683f7e-a65c-4384-ab14-04001b8df005</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afbead66-7724-4875-8757-1b37f488a085</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1b274a2d-1ed3-4631-b079-c977a90b8390</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0b1d455a-da28-43be-8597-284242ada97d</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61d98925-8190-445c-a609-b5a78fca332a</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42b13ad9-d0c3-4d2c-9d0c-a22093fadbdf</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t>
            </w:r>
          </w:p>
        </w:tc>
      </w:tr>
    </w:tbl>
    <w:p>
      <w:pPr>
        <w:spacing w:after="200"/>
      </w:pPr>
    </w:p>
    <w:p>
      <w:r>
        <w:br w:type="page"/>
      </w:r>
    </w:p>
    <w:p>
      <w:pPr>
        <w:pStyle w:val="Heading2"/>
        <w:spacing w:after="120" w:before="280"/>
        <w:rPr>
          <w:b/>
          <w:bCs/>
          <w:color w:val="0B1F3B"/>
        </w:rPr>
      </w:pPr>
      <w:r>
        <w:t xml:space="preserve">Disclaimer</w:t>
      </w:r>
    </w:p>
    <w:p>
      <w:pPr>
        <w:spacing w:after="120"/>
      </w:pPr>
      <w:r>
        <w:rPr>
          <w:i/>
          <w:iCs/>
          <w:color w:val="4A5568"/>
          <w:sz w:val="18"/>
          <w:szCs w:val="18"/>
        </w:rPr>
        <w:t xml:space="preserve">KangaVisa is an information and preparation tool — not legal advice. This export does not guarantee visa approval or constitute advice from a registered migration agent. Always verify against official Home Affairs guidance and the Federal Register of Legislation.</w:t>
      </w:r>
    </w:p>
    <w:sectPr>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4A556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visa (subclass 600) — Readiness Pack</dc:title>
  <dc:creator>KangaVisa</dc:creator>
  <dc:description>KangaVisa readiness pack for Visitor visa (subclass 600), case date 2026-03-15</dc:description>
  <cp:lastModifiedBy>Un-named</cp:lastModifiedBy>
  <cp:revision>1</cp:revision>
  <dcterms:created xsi:type="dcterms:W3CDTF">2026-03-15T13:01:57.084Z</dcterms:created>
  <dcterms:modified xsi:type="dcterms:W3CDTF">2026-03-15T13:01:57.084Z</dcterms:modified>
</cp:coreProperties>
</file>

<file path=docProps/custom.xml><?xml version="1.0" encoding="utf-8"?>
<Properties xmlns="http://schemas.openxmlformats.org/officeDocument/2006/custom-properties" xmlns:vt="http://schemas.openxmlformats.org/officeDocument/2006/docPropsVTypes"/>
</file>